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098FA" w14:textId="77777777" w:rsidR="004D6398" w:rsidRDefault="00E57017">
      <w:pPr>
        <w:jc w:val="center"/>
        <w:rPr>
          <w:rFonts w:ascii="SimSun" w:hAnsi="SimSun" w:cs="SimSun"/>
          <w:b/>
          <w:bCs/>
          <w:sz w:val="36"/>
          <w:szCs w:val="36"/>
        </w:rPr>
      </w:pPr>
      <w:r>
        <w:rPr>
          <w:rFonts w:ascii="SimSun" w:hAnsi="SimSun" w:cs="SimSun" w:hint="eastAsia"/>
          <w:b/>
          <w:bCs/>
          <w:sz w:val="36"/>
          <w:szCs w:val="36"/>
        </w:rPr>
        <w:t>ACE CHO SFM使用说明书</w:t>
      </w:r>
    </w:p>
    <w:p w14:paraId="0EE976AE" w14:textId="77777777" w:rsidR="004D6398" w:rsidRDefault="00E57017">
      <w:pPr>
        <w:jc w:val="center"/>
        <w:rPr>
          <w:rFonts w:ascii="SimSun" w:hAnsi="SimSun" w:cs="SimSun"/>
          <w:szCs w:val="21"/>
        </w:rPr>
      </w:pPr>
      <w:r>
        <w:rPr>
          <w:noProof/>
        </w:rPr>
        <w:drawing>
          <wp:anchor distT="0" distB="0" distL="114300" distR="114300" simplePos="0" relativeHeight="251660288" behindDoc="1" locked="0" layoutInCell="1" allowOverlap="1" wp14:anchorId="69063D33" wp14:editId="2F66B561">
            <wp:simplePos x="0" y="0"/>
            <wp:positionH relativeFrom="column">
              <wp:posOffset>4496435</wp:posOffset>
            </wp:positionH>
            <wp:positionV relativeFrom="paragraph">
              <wp:posOffset>19685</wp:posOffset>
            </wp:positionV>
            <wp:extent cx="1619885" cy="2159635"/>
            <wp:effectExtent l="0" t="0" r="0" b="0"/>
            <wp:wrapNone/>
            <wp:docPr id="14666488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48891"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19885" cy="2159635"/>
                    </a:xfrm>
                    <a:prstGeom prst="rect">
                      <a:avLst/>
                    </a:prstGeom>
                    <a:noFill/>
                    <a:ln>
                      <a:noFill/>
                    </a:ln>
                  </pic:spPr>
                </pic:pic>
              </a:graphicData>
            </a:graphic>
          </wp:anchor>
        </w:drawing>
      </w:r>
    </w:p>
    <w:p w14:paraId="2D7AAC1B" w14:textId="77777777" w:rsidR="004D6398" w:rsidRDefault="004D6398">
      <w:pPr>
        <w:jc w:val="center"/>
        <w:rPr>
          <w:rFonts w:ascii="SimSun" w:hAnsi="SimSun" w:cs="SimSun"/>
          <w:szCs w:val="21"/>
        </w:rPr>
      </w:pPr>
    </w:p>
    <w:p w14:paraId="562958CE" w14:textId="77777777" w:rsidR="004D6398" w:rsidRDefault="004D6398">
      <w:pPr>
        <w:jc w:val="center"/>
        <w:rPr>
          <w:rFonts w:ascii="SimSun" w:hAnsi="SimSun" w:cs="SimSun"/>
          <w:szCs w:val="21"/>
        </w:rPr>
      </w:pPr>
    </w:p>
    <w:p w14:paraId="0B40BE3E" w14:textId="77777777" w:rsidR="004D6398" w:rsidRDefault="00E57017">
      <w:pPr>
        <w:spacing w:line="360" w:lineRule="auto"/>
        <w:jc w:val="left"/>
        <w:rPr>
          <w:rFonts w:ascii="SimSun" w:hAnsi="SimSun" w:cs="SimSun"/>
          <w:szCs w:val="21"/>
        </w:rPr>
      </w:pPr>
      <w:r>
        <w:rPr>
          <w:rFonts w:ascii="SimSun" w:hAnsi="SimSun" w:cs="SimSun" w:hint="eastAsia"/>
          <w:szCs w:val="21"/>
        </w:rPr>
        <w:t>【产品名称】</w:t>
      </w:r>
      <w:r>
        <w:rPr>
          <w:szCs w:val="21"/>
        </w:rPr>
        <w:t>：</w:t>
      </w:r>
      <w:r>
        <w:rPr>
          <w:rFonts w:hint="eastAsia"/>
          <w:szCs w:val="21"/>
        </w:rPr>
        <w:t>ACE CHO SFM</w:t>
      </w:r>
    </w:p>
    <w:p w14:paraId="4DCEF71C" w14:textId="77777777" w:rsidR="004D6398" w:rsidRDefault="00E57017">
      <w:pPr>
        <w:spacing w:line="360" w:lineRule="auto"/>
        <w:jc w:val="left"/>
        <w:rPr>
          <w:szCs w:val="21"/>
        </w:rPr>
      </w:pPr>
      <w:r>
        <w:rPr>
          <w:szCs w:val="21"/>
        </w:rPr>
        <w:t>【产品货号】：</w:t>
      </w:r>
      <w:r>
        <w:rPr>
          <w:rFonts w:hint="eastAsia"/>
          <w:szCs w:val="21"/>
        </w:rPr>
        <w:t>ACE06101</w:t>
      </w:r>
    </w:p>
    <w:p w14:paraId="17EADBEB" w14:textId="77777777" w:rsidR="004D6398" w:rsidRDefault="00E57017">
      <w:pPr>
        <w:spacing w:line="360" w:lineRule="auto"/>
        <w:jc w:val="left"/>
        <w:rPr>
          <w:szCs w:val="21"/>
        </w:rPr>
      </w:pPr>
      <w:r>
        <w:rPr>
          <w:szCs w:val="21"/>
        </w:rPr>
        <w:t>【包装规格】：</w:t>
      </w:r>
      <w:r>
        <w:rPr>
          <w:rFonts w:hint="eastAsia"/>
          <w:szCs w:val="21"/>
        </w:rPr>
        <w:t>100</w:t>
      </w:r>
      <w:r>
        <w:rPr>
          <w:szCs w:val="21"/>
        </w:rPr>
        <w:t>0ml</w:t>
      </w:r>
    </w:p>
    <w:p w14:paraId="7AE130B7" w14:textId="77777777" w:rsidR="005B6BD9" w:rsidRDefault="00E57017">
      <w:pPr>
        <w:spacing w:line="360" w:lineRule="auto"/>
        <w:jc w:val="left"/>
        <w:rPr>
          <w:szCs w:val="21"/>
        </w:rPr>
      </w:pPr>
      <w:r>
        <w:rPr>
          <w:szCs w:val="21"/>
        </w:rPr>
        <w:t>【主要成分】：该产品为无血清</w:t>
      </w:r>
      <w:r w:rsidR="005B6BD9">
        <w:rPr>
          <w:rFonts w:hint="eastAsia"/>
          <w:szCs w:val="21"/>
        </w:rPr>
        <w:t>细胞</w:t>
      </w:r>
      <w:r>
        <w:rPr>
          <w:szCs w:val="21"/>
        </w:rPr>
        <w:t>培养基，主要含糖类、</w:t>
      </w:r>
    </w:p>
    <w:p w14:paraId="2B126CBA" w14:textId="2C16E261" w:rsidR="004D6398" w:rsidRDefault="00E57017">
      <w:pPr>
        <w:spacing w:line="360" w:lineRule="auto"/>
        <w:jc w:val="left"/>
        <w:rPr>
          <w:szCs w:val="21"/>
        </w:rPr>
      </w:pPr>
      <w:r>
        <w:rPr>
          <w:szCs w:val="21"/>
        </w:rPr>
        <w:t>氨基酸、无机盐及微量元素等</w:t>
      </w:r>
    </w:p>
    <w:p w14:paraId="7CE1DF3A" w14:textId="04F76D7F" w:rsidR="004D6398" w:rsidRDefault="00E57017">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003DB51A" w14:textId="7D54CDBA" w:rsidR="004D6398" w:rsidRDefault="00E57017">
      <w:pPr>
        <w:spacing w:line="360" w:lineRule="auto"/>
        <w:jc w:val="left"/>
        <w:rPr>
          <w:szCs w:val="21"/>
        </w:rPr>
      </w:pPr>
      <w:r>
        <w:rPr>
          <w:szCs w:val="21"/>
        </w:rPr>
        <w:t>【预期用途】：本产品为化学</w:t>
      </w:r>
      <w:r w:rsidR="000D6722">
        <w:rPr>
          <w:rFonts w:hint="eastAsia"/>
          <w:szCs w:val="21"/>
        </w:rPr>
        <w:t>成分明确</w:t>
      </w:r>
      <w:r>
        <w:rPr>
          <w:szCs w:val="21"/>
        </w:rPr>
        <w:t>、适用</w:t>
      </w:r>
      <w:r>
        <w:rPr>
          <w:szCs w:val="21"/>
        </w:rPr>
        <w:t>CHO</w:t>
      </w:r>
      <w:r>
        <w:rPr>
          <w:szCs w:val="21"/>
        </w:rPr>
        <w:t>及其它</w:t>
      </w:r>
      <w:r>
        <w:rPr>
          <w:szCs w:val="21"/>
        </w:rPr>
        <w:t>CHO</w:t>
      </w:r>
      <w:r>
        <w:rPr>
          <w:szCs w:val="21"/>
        </w:rPr>
        <w:t>细胞的</w:t>
      </w:r>
      <w:r w:rsidR="000D6722">
        <w:rPr>
          <w:rFonts w:hint="eastAsia"/>
          <w:szCs w:val="21"/>
        </w:rPr>
        <w:t>中、</w:t>
      </w:r>
      <w:r>
        <w:rPr>
          <w:szCs w:val="21"/>
        </w:rPr>
        <w:t>高密度悬浮培养及重组蛋白质表达。</w:t>
      </w:r>
    </w:p>
    <w:p w14:paraId="03869D57" w14:textId="000E557A" w:rsidR="004D6398" w:rsidRDefault="00E57017">
      <w:pPr>
        <w:spacing w:line="360" w:lineRule="auto"/>
        <w:jc w:val="left"/>
        <w:rPr>
          <w:szCs w:val="21"/>
        </w:rPr>
      </w:pPr>
      <w:bookmarkStart w:id="0" w:name="_GoBack"/>
      <w:bookmarkEnd w:id="0"/>
      <w:r>
        <w:rPr>
          <w:szCs w:val="21"/>
        </w:rPr>
        <w:t>【运输要求】：</w:t>
      </w:r>
      <w:r>
        <w:rPr>
          <w:rFonts w:hint="eastAsia"/>
          <w:szCs w:val="21"/>
        </w:rPr>
        <w:t>湿冰运输。</w:t>
      </w:r>
    </w:p>
    <w:p w14:paraId="0FC6FD28" w14:textId="66DB9BD6" w:rsidR="004D6398" w:rsidRPr="000D6722" w:rsidRDefault="00E57017">
      <w:pPr>
        <w:spacing w:line="360" w:lineRule="auto"/>
        <w:jc w:val="left"/>
        <w:rPr>
          <w:rFonts w:ascii="SimSun" w:hAnsi="SimSun" w:cs="SimSun"/>
          <w:szCs w:val="21"/>
        </w:rPr>
      </w:pPr>
      <w:r>
        <w:rPr>
          <w:rFonts w:ascii="SimSun" w:hAnsi="SimSun" w:cs="SimSun" w:hint="eastAsia"/>
          <w:szCs w:val="21"/>
        </w:rPr>
        <w:t>【存储条件及有效期】：</w:t>
      </w:r>
      <w:r>
        <w:rPr>
          <w:rFonts w:hint="eastAsia"/>
          <w:szCs w:val="21"/>
        </w:rPr>
        <w:t>2~8</w:t>
      </w:r>
      <w:r>
        <w:rPr>
          <w:rFonts w:hint="eastAsia"/>
          <w:szCs w:val="21"/>
        </w:rPr>
        <w:t>℃避光保存</w:t>
      </w:r>
      <w:r w:rsidR="000D6722">
        <w:rPr>
          <w:rFonts w:hint="eastAsia"/>
          <w:szCs w:val="21"/>
        </w:rPr>
        <w:t>，</w:t>
      </w:r>
      <w:r>
        <w:rPr>
          <w:rFonts w:hint="eastAsia"/>
          <w:szCs w:val="21"/>
        </w:rPr>
        <w:t>有效期</w:t>
      </w:r>
      <w:r>
        <w:rPr>
          <w:rFonts w:hint="eastAsia"/>
          <w:szCs w:val="21"/>
        </w:rPr>
        <w:t>9</w:t>
      </w:r>
      <w:r>
        <w:rPr>
          <w:rFonts w:hint="eastAsia"/>
          <w:szCs w:val="21"/>
        </w:rPr>
        <w:t>个月</w:t>
      </w:r>
    </w:p>
    <w:tbl>
      <w:tblPr>
        <w:tblStyle w:val="TableGrid"/>
        <w:tblpPr w:leftFromText="180" w:rightFromText="180" w:vertAnchor="text" w:tblpX="203" w:tblpY="29"/>
        <w:tblOverlap w:val="never"/>
        <w:tblW w:w="9667"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67"/>
      </w:tblGrid>
      <w:tr w:rsidR="004D6398" w14:paraId="5179BA07" w14:textId="77777777">
        <w:trPr>
          <w:trHeight w:val="1544"/>
        </w:trPr>
        <w:tc>
          <w:tcPr>
            <w:tcW w:w="9667" w:type="dxa"/>
            <w:shd w:val="clear" w:color="auto" w:fill="F2DCDC" w:themeFill="accent2" w:themeFillTint="32"/>
          </w:tcPr>
          <w:p w14:paraId="5FEAA379" w14:textId="77777777" w:rsidR="004D6398" w:rsidRDefault="00E57017">
            <w:pPr>
              <w:spacing w:line="360" w:lineRule="auto"/>
              <w:jc w:val="left"/>
              <w:rPr>
                <w:rFonts w:ascii="SimSun" w:hAnsi="SimSun" w:cs="SimSun"/>
                <w:b/>
                <w:bCs/>
                <w:szCs w:val="21"/>
              </w:rPr>
            </w:pPr>
            <w:r>
              <w:rPr>
                <w:rFonts w:ascii="SimSun" w:hAnsi="SimSun" w:cs="SimSun" w:hint="eastAsia"/>
                <w:b/>
                <w:bCs/>
                <w:szCs w:val="21"/>
              </w:rPr>
              <w:t>温馨提醒：</w:t>
            </w:r>
          </w:p>
          <w:p w14:paraId="478E3EC9" w14:textId="77777777" w:rsidR="004D6398" w:rsidRDefault="00E57017">
            <w:pPr>
              <w:spacing w:line="360" w:lineRule="auto"/>
              <w:jc w:val="left"/>
              <w:rPr>
                <w:rFonts w:ascii="SimSun" w:hAnsi="SimSun" w:cs="SimSun"/>
                <w:b/>
                <w:bCs/>
                <w:szCs w:val="21"/>
              </w:rPr>
            </w:pPr>
            <w:r>
              <w:rPr>
                <w:rFonts w:ascii="SimSun" w:hAnsi="SimSun" w:cs="SimSun" w:hint="eastAsia"/>
                <w:b/>
                <w:bCs/>
                <w:szCs w:val="21"/>
              </w:rPr>
              <w:t>（1）产品切勿紫外照射；</w:t>
            </w:r>
          </w:p>
          <w:p w14:paraId="370B7917" w14:textId="77777777" w:rsidR="004D6398" w:rsidRDefault="00E57017">
            <w:pPr>
              <w:spacing w:line="360" w:lineRule="auto"/>
              <w:jc w:val="left"/>
              <w:rPr>
                <w:rFonts w:ascii="SimSun" w:hAnsi="SimSun" w:cs="SimSun"/>
                <w:b/>
                <w:bCs/>
                <w:szCs w:val="21"/>
              </w:rPr>
            </w:pPr>
            <w:r>
              <w:rPr>
                <w:rFonts w:ascii="SimSun" w:hAnsi="SimSun" w:cs="SimSun" w:hint="eastAsia"/>
                <w:b/>
                <w:bCs/>
                <w:szCs w:val="21"/>
              </w:rPr>
              <w:t>（2）使用前无需预热处理；</w:t>
            </w:r>
          </w:p>
          <w:p w14:paraId="4E31398D" w14:textId="1ECA1192" w:rsidR="004D6398" w:rsidRDefault="00E57017">
            <w:pPr>
              <w:spacing w:line="360" w:lineRule="auto"/>
              <w:jc w:val="left"/>
              <w:rPr>
                <w:rFonts w:ascii="SimSun" w:hAnsi="SimSun" w:cs="SimSun"/>
                <w:b/>
                <w:bCs/>
                <w:szCs w:val="21"/>
              </w:rPr>
            </w:pPr>
            <w:r>
              <w:rPr>
                <w:rFonts w:ascii="SimSun" w:hAnsi="SimSun" w:cs="SimSun" w:hint="eastAsia"/>
                <w:b/>
                <w:bCs/>
                <w:szCs w:val="21"/>
              </w:rPr>
              <w:t>（3）使用医用冰箱</w:t>
            </w:r>
            <w:r w:rsidR="000D6722">
              <w:rPr>
                <w:rFonts w:ascii="SimSun" w:hAnsi="SimSun" w:cs="SimSun" w:hint="eastAsia"/>
                <w:b/>
                <w:bCs/>
                <w:szCs w:val="21"/>
              </w:rPr>
              <w:t>储存</w:t>
            </w:r>
            <w:r>
              <w:rPr>
                <w:rFonts w:ascii="SimSun" w:hAnsi="SimSun" w:cs="SimSun" w:hint="eastAsia"/>
                <w:b/>
                <w:bCs/>
                <w:szCs w:val="21"/>
              </w:rPr>
              <w:t>，切勿冷冻。</w:t>
            </w:r>
          </w:p>
        </w:tc>
      </w:tr>
    </w:tbl>
    <w:p w14:paraId="232A5323" w14:textId="77777777" w:rsidR="000D6722" w:rsidRDefault="000D6722">
      <w:pPr>
        <w:spacing w:line="360" w:lineRule="auto"/>
        <w:jc w:val="left"/>
        <w:rPr>
          <w:szCs w:val="21"/>
        </w:rPr>
      </w:pPr>
    </w:p>
    <w:p w14:paraId="45E27649" w14:textId="29C41C90" w:rsidR="004D6398" w:rsidRDefault="00E57017">
      <w:pPr>
        <w:spacing w:line="360" w:lineRule="auto"/>
        <w:jc w:val="left"/>
        <w:rPr>
          <w:szCs w:val="21"/>
        </w:rPr>
      </w:pPr>
      <w:r>
        <w:rPr>
          <w:szCs w:val="21"/>
        </w:rPr>
        <w:t>【使用方法】</w:t>
      </w:r>
      <w:r w:rsidR="000D6722">
        <w:rPr>
          <w:rFonts w:hint="eastAsia"/>
          <w:szCs w:val="21"/>
        </w:rPr>
        <w:t>：</w:t>
      </w:r>
    </w:p>
    <w:p w14:paraId="1BE09CE6" w14:textId="77777777" w:rsidR="004D6398" w:rsidRDefault="00E57017">
      <w:pPr>
        <w:pStyle w:val="Heading1"/>
        <w:numPr>
          <w:ilvl w:val="0"/>
          <w:numId w:val="1"/>
        </w:numPr>
        <w:spacing w:before="156" w:line="360" w:lineRule="auto"/>
      </w:pPr>
      <w:r>
        <w:t>细胞的换液与传代</w:t>
      </w:r>
    </w:p>
    <w:p w14:paraId="12EFD6E2" w14:textId="3CDF12FC" w:rsidR="004D6398" w:rsidRDefault="00E57017">
      <w:pPr>
        <w:pStyle w:val="ListParagraph"/>
        <w:numPr>
          <w:ilvl w:val="0"/>
          <w:numId w:val="2"/>
        </w:numPr>
        <w:spacing w:line="360" w:lineRule="auto"/>
        <w:ind w:left="0" w:firstLineChars="0" w:firstLine="0"/>
        <w:rPr>
          <w:rFonts w:ascii="Times New Roman" w:hAnsi="Times New Roman"/>
        </w:rPr>
      </w:pPr>
      <w:r>
        <w:rPr>
          <w:rFonts w:ascii="Times New Roman" w:hAnsi="Times New Roman"/>
        </w:rPr>
        <w:t>新收到的常温细胞应</w:t>
      </w:r>
      <w:r w:rsidR="000D6722">
        <w:rPr>
          <w:rFonts w:ascii="Times New Roman" w:hAnsi="Times New Roman" w:hint="eastAsia"/>
        </w:rPr>
        <w:t>立即</w:t>
      </w:r>
      <w:r>
        <w:rPr>
          <w:rFonts w:ascii="Times New Roman" w:hAnsi="Times New Roman"/>
        </w:rPr>
        <w:t>转移至合适的摇瓶中（培养液体积应控制在摇瓶容量规格的五分之一以内），置于摇床中震荡培养。待细胞密度恢复至</w:t>
      </w:r>
      <w:r>
        <w:rPr>
          <w:rFonts w:ascii="Times New Roman" w:hAnsi="Times New Roman"/>
        </w:rPr>
        <w:t>3-6×10</w:t>
      </w:r>
      <w:r>
        <w:rPr>
          <w:rFonts w:ascii="Times New Roman" w:hAnsi="Times New Roman"/>
          <w:vertAlign w:val="superscript"/>
        </w:rPr>
        <w:t>6</w:t>
      </w:r>
      <w:r>
        <w:rPr>
          <w:rFonts w:ascii="Times New Roman" w:hAnsi="Times New Roman"/>
        </w:rPr>
        <w:t xml:space="preserve"> cells/ml</w:t>
      </w:r>
      <w:r>
        <w:rPr>
          <w:rFonts w:ascii="Times New Roman" w:hAnsi="Times New Roman"/>
        </w:rPr>
        <w:t>时，可进行传代</w:t>
      </w:r>
      <w:r w:rsidR="000D6722">
        <w:rPr>
          <w:rFonts w:ascii="Times New Roman" w:hAnsi="Times New Roman" w:hint="eastAsia"/>
        </w:rPr>
        <w:t>培养</w:t>
      </w:r>
      <w:r>
        <w:rPr>
          <w:rFonts w:ascii="Times New Roman" w:hAnsi="Times New Roman"/>
        </w:rPr>
        <w:t>或</w:t>
      </w:r>
      <w:r w:rsidR="000D6722">
        <w:rPr>
          <w:rFonts w:ascii="Times New Roman" w:hAnsi="Times New Roman" w:hint="eastAsia"/>
        </w:rPr>
        <w:t>细胞</w:t>
      </w:r>
      <w:r>
        <w:rPr>
          <w:rFonts w:ascii="Times New Roman" w:hAnsi="Times New Roman"/>
        </w:rPr>
        <w:t>冻存；</w:t>
      </w:r>
    </w:p>
    <w:p w14:paraId="16135FD7" w14:textId="215AB70C" w:rsidR="004D6398" w:rsidRDefault="00E57017">
      <w:pPr>
        <w:pStyle w:val="ListParagraph"/>
        <w:numPr>
          <w:ilvl w:val="0"/>
          <w:numId w:val="2"/>
        </w:numPr>
        <w:spacing w:line="360" w:lineRule="auto"/>
        <w:ind w:left="0" w:firstLineChars="0" w:firstLine="0"/>
        <w:rPr>
          <w:rFonts w:ascii="Times New Roman" w:hAnsi="Times New Roman"/>
        </w:rPr>
      </w:pPr>
      <w:r>
        <w:rPr>
          <w:rFonts w:ascii="Times New Roman" w:hAnsi="Times New Roman"/>
        </w:rPr>
        <w:t>从液氮罐中取出的细胞或用干冰运输的细胞请依照下述</w:t>
      </w:r>
      <w:r>
        <w:rPr>
          <w:rFonts w:ascii="Times New Roman" w:hAnsi="Times New Roman"/>
          <w:b/>
        </w:rPr>
        <w:t>（</w:t>
      </w:r>
      <w:r>
        <w:rPr>
          <w:rFonts w:ascii="Times New Roman" w:hAnsi="Times New Roman"/>
          <w:b/>
        </w:rPr>
        <w:t>2.</w:t>
      </w:r>
      <w:r>
        <w:rPr>
          <w:rFonts w:ascii="Times New Roman" w:hAnsi="Times New Roman"/>
          <w:b/>
        </w:rPr>
        <w:t>细胞的冻存与复苏）</w:t>
      </w:r>
      <w:r w:rsidR="000D6722">
        <w:rPr>
          <w:rFonts w:ascii="Times New Roman" w:hAnsi="Times New Roman"/>
        </w:rPr>
        <w:t>方法</w:t>
      </w:r>
      <w:r>
        <w:rPr>
          <w:rFonts w:ascii="Times New Roman" w:hAnsi="Times New Roman"/>
        </w:rPr>
        <w:t>进行细胞复苏和培养；</w:t>
      </w:r>
    </w:p>
    <w:p w14:paraId="00507661" w14:textId="13B87FF5" w:rsidR="004D6398" w:rsidRDefault="00E57017">
      <w:pPr>
        <w:pStyle w:val="ListParagraph"/>
        <w:numPr>
          <w:ilvl w:val="0"/>
          <w:numId w:val="2"/>
        </w:numPr>
        <w:spacing w:line="360" w:lineRule="auto"/>
        <w:ind w:left="0" w:firstLineChars="0" w:firstLine="0"/>
        <w:rPr>
          <w:rFonts w:ascii="Times New Roman" w:hAnsi="Times New Roman"/>
        </w:rPr>
      </w:pPr>
      <w:r>
        <w:rPr>
          <w:rFonts w:ascii="Times New Roman" w:hAnsi="Times New Roman"/>
        </w:rPr>
        <w:t>传代时，需先做细胞计数，确认密度后无需离心细胞，可直接将细胞悬液依照所需比例兑入培养液中。传代后的细胞密度应控制在在</w:t>
      </w:r>
      <w:r>
        <w:rPr>
          <w:rFonts w:ascii="Times New Roman" w:hAnsi="Times New Roman"/>
        </w:rPr>
        <w:t>0.3×10</w:t>
      </w:r>
      <w:r>
        <w:rPr>
          <w:rFonts w:ascii="Times New Roman" w:hAnsi="Times New Roman"/>
          <w:vertAlign w:val="superscript"/>
        </w:rPr>
        <w:t>6</w:t>
      </w:r>
      <w:r>
        <w:rPr>
          <w:rFonts w:ascii="Times New Roman" w:hAnsi="Times New Roman"/>
        </w:rPr>
        <w:t xml:space="preserve"> cells/ml</w:t>
      </w:r>
      <w:r>
        <w:rPr>
          <w:rFonts w:ascii="Times New Roman" w:hAnsi="Times New Roman"/>
        </w:rPr>
        <w:t>，一般每</w:t>
      </w:r>
      <w:r>
        <w:rPr>
          <w:rFonts w:ascii="Times New Roman" w:hAnsi="Times New Roman"/>
        </w:rPr>
        <w:t>4</w:t>
      </w:r>
      <w:r>
        <w:rPr>
          <w:rFonts w:ascii="Times New Roman" w:hAnsi="Times New Roman"/>
        </w:rPr>
        <w:t>天需传代</w:t>
      </w:r>
      <w:r>
        <w:rPr>
          <w:rFonts w:ascii="Times New Roman" w:hAnsi="Times New Roman"/>
        </w:rPr>
        <w:t>1</w:t>
      </w:r>
      <w:r>
        <w:rPr>
          <w:rFonts w:ascii="Times New Roman" w:hAnsi="Times New Roman"/>
        </w:rPr>
        <w:t>次</w:t>
      </w:r>
      <w:r w:rsidR="000D6722">
        <w:rPr>
          <w:rFonts w:ascii="Times New Roman" w:hAnsi="Times New Roman" w:hint="eastAsia"/>
        </w:rPr>
        <w:t>；</w:t>
      </w:r>
      <w:r>
        <w:rPr>
          <w:rFonts w:ascii="Times New Roman" w:hAnsi="Times New Roman"/>
        </w:rPr>
        <w:t>或传代密度为</w:t>
      </w:r>
      <w:r>
        <w:rPr>
          <w:rFonts w:ascii="Times New Roman" w:hAnsi="Times New Roman"/>
        </w:rPr>
        <w:t>0.6×10</w:t>
      </w:r>
      <w:r>
        <w:rPr>
          <w:rFonts w:ascii="Times New Roman" w:hAnsi="Times New Roman"/>
          <w:vertAlign w:val="superscript"/>
        </w:rPr>
        <w:t>6</w:t>
      </w:r>
      <w:r>
        <w:rPr>
          <w:rFonts w:ascii="Times New Roman" w:hAnsi="Times New Roman"/>
        </w:rPr>
        <w:t xml:space="preserve"> cells/ml</w:t>
      </w:r>
      <w:r>
        <w:rPr>
          <w:rFonts w:ascii="Times New Roman" w:hAnsi="Times New Roman"/>
        </w:rPr>
        <w:t>，每隔</w:t>
      </w:r>
      <w:r>
        <w:rPr>
          <w:rFonts w:ascii="Times New Roman" w:hAnsi="Times New Roman"/>
        </w:rPr>
        <w:t>3</w:t>
      </w:r>
      <w:r>
        <w:rPr>
          <w:rFonts w:ascii="Times New Roman" w:hAnsi="Times New Roman"/>
        </w:rPr>
        <w:t>天传代</w:t>
      </w:r>
      <w:r>
        <w:rPr>
          <w:rFonts w:ascii="Times New Roman" w:hAnsi="Times New Roman"/>
        </w:rPr>
        <w:t>1</w:t>
      </w:r>
      <w:r>
        <w:rPr>
          <w:rFonts w:ascii="Times New Roman" w:hAnsi="Times New Roman"/>
        </w:rPr>
        <w:t>次。本培养液可支撑的最高细胞密度约为</w:t>
      </w:r>
      <w:r>
        <w:rPr>
          <w:rFonts w:ascii="Times New Roman" w:hAnsi="Times New Roman"/>
        </w:rPr>
        <w:t>1×10</w:t>
      </w:r>
      <w:r>
        <w:rPr>
          <w:rFonts w:ascii="Times New Roman" w:hAnsi="Times New Roman"/>
          <w:vertAlign w:val="superscript"/>
        </w:rPr>
        <w:t>7</w:t>
      </w:r>
      <w:r>
        <w:rPr>
          <w:rFonts w:ascii="Times New Roman" w:hAnsi="Times New Roman"/>
        </w:rPr>
        <w:t xml:space="preserve"> cells/ml</w:t>
      </w:r>
      <w:r>
        <w:rPr>
          <w:rFonts w:ascii="Times New Roman" w:hAnsi="Times New Roman"/>
        </w:rPr>
        <w:t>，细胞在达到此密度时存活率一般仍可保持在</w:t>
      </w:r>
      <w:r>
        <w:rPr>
          <w:rFonts w:ascii="Times New Roman" w:hAnsi="Times New Roman"/>
        </w:rPr>
        <w:t>95%</w:t>
      </w:r>
      <w:r>
        <w:rPr>
          <w:rFonts w:ascii="Times New Roman" w:hAnsi="Times New Roman"/>
        </w:rPr>
        <w:t>以上；</w:t>
      </w:r>
    </w:p>
    <w:p w14:paraId="29DA0E5A" w14:textId="77777777" w:rsidR="004D6398" w:rsidRDefault="00E57017">
      <w:pPr>
        <w:pStyle w:val="ListParagraph"/>
        <w:numPr>
          <w:ilvl w:val="0"/>
          <w:numId w:val="2"/>
        </w:numPr>
        <w:spacing w:line="360" w:lineRule="auto"/>
        <w:ind w:left="0" w:firstLineChars="0" w:firstLine="0"/>
        <w:rPr>
          <w:rFonts w:ascii="Times New Roman" w:hAnsi="Times New Roman"/>
        </w:rPr>
      </w:pPr>
      <w:r>
        <w:rPr>
          <w:rFonts w:ascii="Times New Roman" w:hAnsi="Times New Roman"/>
        </w:rPr>
        <w:t>若在震荡培养过程中出现死细胞数过多的状况，可接种低细胞密度进行静置培养，待细胞恢复到正常活率后再进行震荡培养。</w:t>
      </w:r>
    </w:p>
    <w:p w14:paraId="2D65657E" w14:textId="77777777" w:rsidR="004D6398" w:rsidRDefault="00E57017">
      <w:pPr>
        <w:pStyle w:val="Heading1"/>
        <w:numPr>
          <w:ilvl w:val="0"/>
          <w:numId w:val="1"/>
        </w:numPr>
        <w:spacing w:before="156" w:line="360" w:lineRule="auto"/>
      </w:pPr>
      <w:r>
        <w:lastRenderedPageBreak/>
        <w:t>细胞的冻存与复苏</w:t>
      </w:r>
    </w:p>
    <w:p w14:paraId="25F36FFC" w14:textId="77777777" w:rsidR="004D6398" w:rsidRDefault="00E57017">
      <w:pPr>
        <w:pStyle w:val="Heading2"/>
        <w:spacing w:line="360" w:lineRule="auto"/>
        <w:rPr>
          <w:rFonts w:ascii="SimSun" w:hAnsi="SimSun" w:cs="SimSun"/>
        </w:rPr>
      </w:pPr>
      <w:r>
        <w:rPr>
          <w:rFonts w:ascii="SimSun" w:hAnsi="SimSun" w:cs="SimSun" w:hint="eastAsia"/>
        </w:rPr>
        <w:t>2.1冻存</w:t>
      </w:r>
    </w:p>
    <w:p w14:paraId="071BEEE4"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用细胞培养液制备7.5% 二甲基亚砜（DMSO）细胞冻存液；</w:t>
      </w:r>
    </w:p>
    <w:p w14:paraId="55A85A39"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将细胞培养至对数生长期（密度约为6×10</w:t>
      </w:r>
      <w:r>
        <w:rPr>
          <w:rFonts w:ascii="SimSun" w:hAnsi="SimSun" w:cs="SimSun" w:hint="eastAsia"/>
          <w:vertAlign w:val="superscript"/>
        </w:rPr>
        <w:t>6</w:t>
      </w:r>
      <w:r>
        <w:rPr>
          <w:rFonts w:ascii="SimSun" w:hAnsi="SimSun" w:cs="SimSun" w:hint="eastAsia"/>
        </w:rPr>
        <w:t xml:space="preserve"> cells/ml），计数并离心收集细胞；</w:t>
      </w:r>
    </w:p>
    <w:p w14:paraId="369A1BCB"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用细胞冻存液将离心的细胞以5-20×10</w:t>
      </w:r>
      <w:r>
        <w:rPr>
          <w:rFonts w:ascii="SimSun" w:hAnsi="SimSun" w:cs="SimSun" w:hint="eastAsia"/>
          <w:vertAlign w:val="superscript"/>
        </w:rPr>
        <w:t>6</w:t>
      </w:r>
      <w:r>
        <w:rPr>
          <w:rFonts w:ascii="SimSun" w:hAnsi="SimSun" w:cs="SimSun" w:hint="eastAsia"/>
        </w:rPr>
        <w:t xml:space="preserve"> cells/ml的浓度重悬；</w:t>
      </w:r>
    </w:p>
    <w:p w14:paraId="5129017A"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将细胞悬液分装到标记好的冻存管内，确保拧紧管盖使其完全密封；</w:t>
      </w:r>
    </w:p>
    <w:p w14:paraId="2D2A9125"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将冻存管放置于-80℃冰箱中缓慢降温；</w:t>
      </w:r>
    </w:p>
    <w:p w14:paraId="550EFA87" w14:textId="77777777" w:rsidR="004D6398" w:rsidRDefault="00E57017">
      <w:pPr>
        <w:pStyle w:val="ListParagraph"/>
        <w:numPr>
          <w:ilvl w:val="0"/>
          <w:numId w:val="3"/>
        </w:numPr>
        <w:spacing w:line="360" w:lineRule="auto"/>
        <w:ind w:left="0" w:firstLineChars="0" w:firstLine="0"/>
        <w:rPr>
          <w:rFonts w:ascii="SimSun" w:hAnsi="SimSun" w:cs="SimSun"/>
        </w:rPr>
      </w:pPr>
      <w:r>
        <w:rPr>
          <w:rFonts w:ascii="SimSun" w:hAnsi="SimSun" w:cs="SimSun" w:hint="eastAsia"/>
        </w:rPr>
        <w:t>次日将冻存管转移至液氮内长期保存。此过程需尽可能快速完成（建议在2min内），如果在此过程中冻存管温度升至-50℃以上，细胞则可能会迅速受损。</w:t>
      </w:r>
    </w:p>
    <w:p w14:paraId="3AADEED3" w14:textId="77777777" w:rsidR="004D6398" w:rsidRDefault="00E57017">
      <w:pPr>
        <w:pStyle w:val="Heading2"/>
        <w:spacing w:line="360" w:lineRule="auto"/>
        <w:rPr>
          <w:rFonts w:ascii="SimSun" w:hAnsi="SimSun" w:cs="SimSun"/>
        </w:rPr>
      </w:pPr>
      <w:r>
        <w:rPr>
          <w:rFonts w:ascii="SimSun" w:hAnsi="SimSun" w:cs="SimSun" w:hint="eastAsia"/>
        </w:rPr>
        <w:t>2.2复苏</w:t>
      </w:r>
    </w:p>
    <w:p w14:paraId="3DAFF011" w14:textId="77777777"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从液氮罐、干冰或超低温冰箱中取出细胞冻存管，立刻放置于37℃的温水中，直至管内冰晶完全融化；</w:t>
      </w:r>
    </w:p>
    <w:p w14:paraId="219986BB" w14:textId="77777777"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解冻后用75%乙醇彻底擦拭冻存管，用移液枪将管内细胞悬液全部转移至一个50ml的无菌离心管中，缓慢加入细胞培养液，至其终体积为20ml；</w:t>
      </w:r>
    </w:p>
    <w:p w14:paraId="19D28383" w14:textId="77777777"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1000rpm离心5min，弃去含有冻存液的上清液；</w:t>
      </w:r>
    </w:p>
    <w:p w14:paraId="3C0BE852" w14:textId="28119F17"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用新鲜的AC</w:t>
      </w:r>
      <w:r w:rsidR="000D6722">
        <w:rPr>
          <w:rFonts w:ascii="SimSun" w:hAnsi="SimSun" w:cs="SimSun"/>
        </w:rPr>
        <w:t>E</w:t>
      </w:r>
      <w:r>
        <w:rPr>
          <w:rFonts w:ascii="SimSun" w:hAnsi="SimSun" w:cs="SimSun" w:hint="eastAsia"/>
        </w:rPr>
        <w:t xml:space="preserve"> CHO SFM培养液重悬细胞，使其密度为0.6-1.0×10</w:t>
      </w:r>
      <w:r>
        <w:rPr>
          <w:rFonts w:ascii="SimSun" w:hAnsi="SimSun" w:cs="SimSun" w:hint="eastAsia"/>
          <w:vertAlign w:val="superscript"/>
        </w:rPr>
        <w:t>6</w:t>
      </w:r>
      <w:r>
        <w:rPr>
          <w:rFonts w:ascii="SimSun" w:hAnsi="SimSun" w:cs="SimSun" w:hint="eastAsia"/>
        </w:rPr>
        <w:t xml:space="preserve"> cells/ml，接种于摇瓶中震荡培养。培养3-6天后对细胞进行计数，观察细胞密度和存活率是否上升。若细胞密度达到3-6×10</w:t>
      </w:r>
      <w:r>
        <w:rPr>
          <w:rFonts w:ascii="SimSun" w:hAnsi="SimSun" w:cs="SimSun" w:hint="eastAsia"/>
          <w:vertAlign w:val="superscript"/>
        </w:rPr>
        <w:t>6</w:t>
      </w:r>
      <w:r>
        <w:rPr>
          <w:rFonts w:ascii="SimSun" w:hAnsi="SimSun" w:cs="SimSun" w:hint="eastAsia"/>
        </w:rPr>
        <w:t xml:space="preserve"> cells/ml，可对细胞进行传代，一般细胞传代1-2次后即可恢复正常的生长状态；</w:t>
      </w:r>
    </w:p>
    <w:p w14:paraId="2FDC6051" w14:textId="52E86C1D"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使用珠海恺瑞无血清细胞冻存液</w:t>
      </w:r>
      <w:r w:rsidR="000D6722">
        <w:rPr>
          <w:rFonts w:ascii="SimSun" w:hAnsi="SimSun" w:cs="SimSun" w:hint="eastAsia"/>
        </w:rPr>
        <w:t>（</w:t>
      </w:r>
      <w:r>
        <w:rPr>
          <w:rFonts w:ascii="SimSun" w:hAnsi="SimSun" w:cs="SimSun" w:hint="eastAsia"/>
        </w:rPr>
        <w:t>KD-Freeze）</w:t>
      </w:r>
      <w:r w:rsidR="000D6722">
        <w:rPr>
          <w:rFonts w:ascii="SimSun" w:hAnsi="SimSun" w:cs="SimSun" w:hint="eastAsia"/>
        </w:rPr>
        <w:t>冻存的细胞</w:t>
      </w:r>
      <w:r>
        <w:rPr>
          <w:rFonts w:ascii="SimSun" w:hAnsi="SimSun" w:cs="SimSun" w:hint="eastAsia"/>
        </w:rPr>
        <w:t>，可直接复苏融化后转移至已添加AC 293 SFM培养液的摇瓶中重悬即可，培养3-6天后对细胞进行计数，观察细胞密度和存活率是否上升。</w:t>
      </w:r>
    </w:p>
    <w:p w14:paraId="3467C4B0" w14:textId="44330FE3" w:rsidR="004D6398" w:rsidRDefault="00E57017">
      <w:pPr>
        <w:pStyle w:val="ListParagraph"/>
        <w:numPr>
          <w:ilvl w:val="0"/>
          <w:numId w:val="4"/>
        </w:numPr>
        <w:spacing w:line="360" w:lineRule="auto"/>
        <w:ind w:left="0" w:firstLineChars="0" w:firstLine="0"/>
        <w:rPr>
          <w:rFonts w:ascii="SimSun" w:hAnsi="SimSun" w:cs="SimSun"/>
        </w:rPr>
      </w:pPr>
      <w:r>
        <w:rPr>
          <w:rFonts w:ascii="SimSun" w:hAnsi="SimSun" w:cs="SimSun" w:hint="eastAsia"/>
        </w:rPr>
        <w:t>若化冻后细胞密度过低，可先接种于培养瓶中静置培养，待其密度恢复至0.6-1.0×10</w:t>
      </w:r>
      <w:r>
        <w:rPr>
          <w:rFonts w:ascii="SimSun" w:hAnsi="SimSun" w:cs="SimSun" w:hint="eastAsia"/>
          <w:vertAlign w:val="superscript"/>
        </w:rPr>
        <w:t>6</w:t>
      </w:r>
      <w:r>
        <w:rPr>
          <w:rFonts w:ascii="SimSun" w:hAnsi="SimSun" w:cs="SimSun" w:hint="eastAsia"/>
        </w:rPr>
        <w:t xml:space="preserve"> cells/ml时，再</w:t>
      </w:r>
      <w:r w:rsidR="000D6722">
        <w:rPr>
          <w:rFonts w:ascii="SimSun" w:hAnsi="SimSun" w:cs="SimSun" w:hint="eastAsia"/>
        </w:rPr>
        <w:t>置于培养箱摇床中</w:t>
      </w:r>
      <w:r>
        <w:rPr>
          <w:rFonts w:ascii="SimSun" w:hAnsi="SimSun" w:cs="SimSun" w:hint="eastAsia"/>
        </w:rPr>
        <w:t>震荡培养。</w:t>
      </w:r>
    </w:p>
    <w:p w14:paraId="0BF175CC" w14:textId="77777777" w:rsidR="004D6398" w:rsidRDefault="004D6398">
      <w:pPr>
        <w:tabs>
          <w:tab w:val="left" w:pos="1800"/>
          <w:tab w:val="left" w:pos="3449"/>
        </w:tabs>
        <w:ind w:firstLine="400"/>
        <w:jc w:val="center"/>
        <w:rPr>
          <w:sz w:val="20"/>
          <w:szCs w:val="20"/>
        </w:rPr>
      </w:pPr>
    </w:p>
    <w:tbl>
      <w:tblPr>
        <w:tblStyle w:val="TableGrid"/>
        <w:tblpPr w:leftFromText="180" w:rightFromText="180" w:vertAnchor="text" w:tblpX="93" w:tblpY="207"/>
        <w:tblOverlap w:val="never"/>
        <w:tblW w:w="0" w:type="auto"/>
        <w:shd w:val="clear" w:color="auto" w:fill="F2DCDC" w:themeFill="accent2" w:themeFillTint="32"/>
        <w:tblLook w:val="04A0" w:firstRow="1" w:lastRow="0" w:firstColumn="1" w:lastColumn="0" w:noHBand="0" w:noVBand="1"/>
      </w:tblPr>
      <w:tblGrid>
        <w:gridCol w:w="9608"/>
      </w:tblGrid>
      <w:tr w:rsidR="004D6398" w14:paraId="1D0A95B5" w14:textId="77777777">
        <w:trPr>
          <w:trHeight w:val="1770"/>
        </w:trPr>
        <w:tc>
          <w:tcPr>
            <w:tcW w:w="9658" w:type="dxa"/>
            <w:tcBorders>
              <w:top w:val="dashSmallGap" w:sz="12" w:space="0" w:color="A5A5A5" w:themeColor="background1" w:themeShade="A5"/>
              <w:left w:val="dashSmallGap" w:sz="12" w:space="0" w:color="A5A5A5" w:themeColor="background1" w:themeShade="A5"/>
              <w:bottom w:val="dashSmallGap" w:sz="12" w:space="0" w:color="A5A5A5" w:themeColor="background1" w:themeShade="A5"/>
              <w:right w:val="dashSmallGap" w:sz="12" w:space="0" w:color="A5A5A5" w:themeColor="background1" w:themeShade="A5"/>
            </w:tcBorders>
            <w:shd w:val="clear" w:color="auto" w:fill="F2DCDC" w:themeFill="accent2" w:themeFillTint="32"/>
          </w:tcPr>
          <w:p w14:paraId="4940CF20" w14:textId="77777777" w:rsidR="004D6398" w:rsidRDefault="00E57017">
            <w:pPr>
              <w:pStyle w:val="ListParagraph"/>
              <w:ind w:firstLineChars="0" w:firstLine="0"/>
              <w:rPr>
                <w:rFonts w:ascii="Times New Roman" w:hAnsi="Times New Roman"/>
                <w:b/>
                <w:bCs/>
                <w:szCs w:val="21"/>
              </w:rPr>
            </w:pPr>
            <w:r>
              <w:rPr>
                <w:rFonts w:ascii="Times New Roman" w:hAnsi="Times New Roman"/>
                <w:b/>
                <w:bCs/>
                <w:szCs w:val="21"/>
              </w:rPr>
              <w:t>操作要点及注意事项：</w:t>
            </w:r>
          </w:p>
          <w:p w14:paraId="5656EB6B" w14:textId="77777777" w:rsidR="004D6398" w:rsidRDefault="00E57017">
            <w:pPr>
              <w:pStyle w:val="ListParagraph"/>
              <w:spacing w:line="500" w:lineRule="exact"/>
              <w:ind w:firstLineChars="0" w:firstLine="0"/>
              <w:rPr>
                <w:rFonts w:ascii="Times New Roman" w:hAnsi="Times New Roman"/>
                <w:szCs w:val="21"/>
              </w:rPr>
            </w:pPr>
            <w:r>
              <w:rPr>
                <w:rFonts w:ascii="Times New Roman" w:hAnsi="Times New Roman"/>
                <w:szCs w:val="21"/>
              </w:rPr>
              <w:t>1.</w:t>
            </w:r>
            <w:r>
              <w:rPr>
                <w:rFonts w:ascii="Times New Roman" w:hAnsi="Times New Roman"/>
                <w:szCs w:val="21"/>
              </w:rPr>
              <w:t>摇床参数设置建议：温度</w:t>
            </w:r>
            <w:r>
              <w:rPr>
                <w:rFonts w:ascii="Times New Roman" w:hAnsi="Times New Roman"/>
                <w:szCs w:val="21"/>
              </w:rPr>
              <w:t>36-37℃</w:t>
            </w:r>
            <w:r>
              <w:rPr>
                <w:rFonts w:ascii="Times New Roman" w:hAnsi="Times New Roman"/>
                <w:szCs w:val="21"/>
              </w:rPr>
              <w:t>，</w:t>
            </w:r>
            <w:r>
              <w:rPr>
                <w:rFonts w:ascii="Times New Roman" w:hAnsi="Times New Roman"/>
                <w:szCs w:val="21"/>
              </w:rPr>
              <w:t>CO2</w:t>
            </w:r>
            <w:r>
              <w:rPr>
                <w:rFonts w:ascii="Times New Roman" w:hAnsi="Times New Roman"/>
                <w:szCs w:val="21"/>
              </w:rPr>
              <w:t>浓度为</w:t>
            </w:r>
            <w:r>
              <w:rPr>
                <w:rFonts w:ascii="Times New Roman" w:hAnsi="Times New Roman"/>
                <w:szCs w:val="21"/>
              </w:rPr>
              <w:t>5%</w:t>
            </w:r>
            <w:r>
              <w:rPr>
                <w:rFonts w:ascii="Times New Roman" w:hAnsi="Times New Roman"/>
                <w:szCs w:val="21"/>
              </w:rPr>
              <w:t>，转速</w:t>
            </w:r>
            <w:r>
              <w:rPr>
                <w:rFonts w:ascii="Times New Roman" w:hAnsi="Times New Roman"/>
                <w:szCs w:val="21"/>
              </w:rPr>
              <w:t>≤120rpm</w:t>
            </w:r>
            <w:r>
              <w:rPr>
                <w:rFonts w:ascii="Times New Roman" w:hAnsi="Times New Roman"/>
                <w:szCs w:val="21"/>
              </w:rPr>
              <w:t>（振幅</w:t>
            </w:r>
            <w:r>
              <w:rPr>
                <w:rFonts w:ascii="Times New Roman" w:hAnsi="Times New Roman"/>
                <w:szCs w:val="21"/>
              </w:rPr>
              <w:t>26</w:t>
            </w:r>
            <w:r>
              <w:rPr>
                <w:rFonts w:ascii="Times New Roman" w:hAnsi="Times New Roman"/>
                <w:szCs w:val="21"/>
              </w:rPr>
              <w:t>）；不同振幅摇床计算公式如下：</w:t>
            </w:r>
          </w:p>
          <w:p w14:paraId="5F925E2E" w14:textId="77777777" w:rsidR="004D6398" w:rsidRDefault="00E57017">
            <w:pPr>
              <w:pStyle w:val="ListParagraph"/>
              <w:spacing w:line="500" w:lineRule="exact"/>
              <w:ind w:firstLineChars="0" w:firstLine="0"/>
              <w:rPr>
                <w:rFonts w:ascii="Times New Roman" w:hAnsi="Times New Roman"/>
                <w:szCs w:val="21"/>
              </w:rPr>
            </w:pPr>
            <w:r>
              <w:rPr>
                <w:rFonts w:ascii="Times New Roman" w:hAnsi="Times New Roman"/>
                <w:szCs w:val="21"/>
              </w:rPr>
              <w:t>如振幅</w:t>
            </w:r>
            <w:r>
              <w:rPr>
                <w:rFonts w:ascii="Times New Roman" w:hAnsi="Times New Roman"/>
                <w:szCs w:val="21"/>
              </w:rPr>
              <w:t>50</w:t>
            </w:r>
            <w:r>
              <w:rPr>
                <w:rFonts w:ascii="Times New Roman" w:hAnsi="Times New Roman"/>
                <w:szCs w:val="21"/>
              </w:rPr>
              <w:t>按照公式计算：</w:t>
            </w:r>
            <w:r>
              <w:rPr>
                <w:rFonts w:ascii="Times New Roman" w:hAnsi="Times New Roman"/>
                <w:szCs w:val="21"/>
              </w:rPr>
              <w:t>m×ω1</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26</m:t>
                  </m:r>
                </m:num>
                <m:den>
                  <m:r>
                    <w:rPr>
                      <w:rFonts w:ascii="Cambria Math" w:hAnsi="Cambria Math"/>
                      <w:szCs w:val="21"/>
                    </w:rPr>
                    <m:t>2</m:t>
                  </m:r>
                </m:den>
              </m:f>
            </m:oMath>
            <w:r>
              <w:rPr>
                <w:rFonts w:ascii="Times New Roman" w:hAnsi="Times New Roman"/>
                <w:szCs w:val="21"/>
              </w:rPr>
              <w:t>=m×ω2</w:t>
            </w:r>
            <w:r>
              <w:rPr>
                <w:rFonts w:ascii="Times New Roman" w:hAnsi="Times New Roman"/>
                <w:szCs w:val="21"/>
                <w:vertAlign w:val="superscript"/>
              </w:rPr>
              <w:t>2</w:t>
            </w:r>
            <w:r>
              <w:rPr>
                <w:rFonts w:ascii="Times New Roman" w:hAnsi="Times New Roman"/>
                <w:szCs w:val="21"/>
              </w:rPr>
              <w:t>×</w:t>
            </w:r>
            <m:oMath>
              <m:f>
                <m:fPr>
                  <m:ctrlPr>
                    <w:rPr>
                      <w:rFonts w:ascii="Cambria Math" w:hAnsi="Cambria Math"/>
                      <w:i/>
                      <w:szCs w:val="21"/>
                    </w:rPr>
                  </m:ctrlPr>
                </m:fPr>
                <m:num>
                  <m:r>
                    <w:rPr>
                      <w:rFonts w:ascii="Cambria Math" w:hAnsi="Cambria Math"/>
                      <w:szCs w:val="21"/>
                    </w:rPr>
                    <m:t>50</m:t>
                  </m:r>
                </m:num>
                <m:den>
                  <m:r>
                    <w:rPr>
                      <w:rFonts w:ascii="Cambria Math" w:hAnsi="Cambria Math"/>
                      <w:szCs w:val="21"/>
                    </w:rPr>
                    <m:t>2</m:t>
                  </m:r>
                </m:den>
              </m:f>
            </m:oMath>
            <w:r>
              <w:rPr>
                <w:rFonts w:ascii="Times New Roman" w:hAnsi="Times New Roman"/>
                <w:szCs w:val="21"/>
              </w:rPr>
              <w:t xml:space="preserve"> </w:t>
            </w:r>
            <w:r>
              <w:rPr>
                <w:rFonts w:ascii="Times New Roman" w:hAnsi="Times New Roman"/>
                <w:szCs w:val="21"/>
              </w:rPr>
              <w:t>，所以</w:t>
            </w:r>
            <w:r>
              <w:rPr>
                <w:rFonts w:ascii="Times New Roman" w:hAnsi="Times New Roman"/>
                <w:szCs w:val="21"/>
              </w:rPr>
              <w:t>ω1</w:t>
            </w:r>
            <w:r>
              <w:rPr>
                <w:rFonts w:ascii="Times New Roman" w:hAnsi="Times New Roman"/>
                <w:szCs w:val="21"/>
              </w:rPr>
              <w:t>和</w:t>
            </w:r>
            <w:r>
              <w:rPr>
                <w:rFonts w:ascii="Times New Roman" w:hAnsi="Times New Roman"/>
                <w:szCs w:val="21"/>
              </w:rPr>
              <w:t>ω2</w:t>
            </w:r>
            <w:r>
              <w:rPr>
                <w:rFonts w:ascii="Times New Roman" w:hAnsi="Times New Roman"/>
                <w:szCs w:val="21"/>
              </w:rPr>
              <w:t>的关系是：</w:t>
            </w:r>
            <w:r>
              <w:rPr>
                <w:rFonts w:ascii="Times New Roman" w:hAnsi="Times New Roman"/>
                <w:szCs w:val="21"/>
              </w:rPr>
              <w:t>ω1≈1.4ω2</w:t>
            </w:r>
            <w:r>
              <w:rPr>
                <w:rFonts w:ascii="Times New Roman" w:hAnsi="Times New Roman"/>
                <w:szCs w:val="21"/>
              </w:rPr>
              <w:t>，就是</w:t>
            </w:r>
            <w:r>
              <w:rPr>
                <w:rFonts w:ascii="Times New Roman" w:hAnsi="Times New Roman"/>
                <w:szCs w:val="21"/>
              </w:rPr>
              <w:t>86rpm</w:t>
            </w:r>
            <w:r>
              <w:rPr>
                <w:rFonts w:ascii="Times New Roman" w:hAnsi="Times New Roman"/>
                <w:szCs w:val="21"/>
              </w:rPr>
              <w:t>左右。</w:t>
            </w:r>
          </w:p>
          <w:p w14:paraId="0D3403A6" w14:textId="22DB8903" w:rsidR="004D6398" w:rsidRDefault="00E57017">
            <w:pPr>
              <w:pStyle w:val="ListParagraph"/>
              <w:spacing w:line="500" w:lineRule="exact"/>
              <w:ind w:firstLineChars="0" w:firstLine="0"/>
              <w:rPr>
                <w:rFonts w:ascii="Times New Roman" w:hAnsi="Times New Roman"/>
                <w:szCs w:val="21"/>
              </w:rPr>
            </w:pPr>
            <w:r>
              <w:rPr>
                <w:rFonts w:ascii="Times New Roman" w:hAnsi="Times New Roman"/>
                <w:szCs w:val="21"/>
              </w:rPr>
              <w:t>2.</w:t>
            </w:r>
            <w:r>
              <w:rPr>
                <w:rFonts w:ascii="Times New Roman" w:hAnsi="Times New Roman"/>
                <w:szCs w:val="21"/>
              </w:rPr>
              <w:t>如</w:t>
            </w:r>
            <w:r w:rsidR="000D6722">
              <w:rPr>
                <w:rFonts w:ascii="Times New Roman" w:hAnsi="Times New Roman" w:hint="eastAsia"/>
                <w:szCs w:val="21"/>
              </w:rPr>
              <w:t>细胞此前在其它品牌培养基培养</w:t>
            </w:r>
            <w:r>
              <w:rPr>
                <w:rFonts w:ascii="Times New Roman" w:hAnsi="Times New Roman"/>
                <w:szCs w:val="21"/>
              </w:rPr>
              <w:t>，建议逐步过渡到</w:t>
            </w:r>
            <w:r>
              <w:rPr>
                <w:rFonts w:ascii="Times New Roman" w:hAnsi="Times New Roman"/>
                <w:szCs w:val="21"/>
              </w:rPr>
              <w:t>AC CHO SFM</w:t>
            </w:r>
            <w:r>
              <w:rPr>
                <w:rFonts w:ascii="Times New Roman" w:hAnsi="Times New Roman"/>
                <w:szCs w:val="21"/>
              </w:rPr>
              <w:t>，让细胞持续传代数周时间，等细胞恢复正常生长状态再做下一步实验。</w:t>
            </w:r>
          </w:p>
          <w:p w14:paraId="1F7CB13A"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3.</w:t>
            </w:r>
            <w:r>
              <w:rPr>
                <w:rFonts w:ascii="Times New Roman" w:hAnsi="Times New Roman"/>
                <w:szCs w:val="21"/>
              </w:rPr>
              <w:t>细胞密度及活率降低</w:t>
            </w:r>
          </w:p>
          <w:p w14:paraId="0DA7C136"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lastRenderedPageBreak/>
              <w:t>（</w:t>
            </w:r>
            <w:r>
              <w:rPr>
                <w:rFonts w:ascii="Times New Roman" w:hAnsi="Times New Roman"/>
                <w:szCs w:val="21"/>
              </w:rPr>
              <w:t>1</w:t>
            </w:r>
            <w:r>
              <w:rPr>
                <w:rFonts w:ascii="Times New Roman" w:hAnsi="Times New Roman"/>
                <w:szCs w:val="21"/>
              </w:rPr>
              <w:t>）当细胞存活率为</w:t>
            </w:r>
            <w:r>
              <w:rPr>
                <w:rFonts w:ascii="Times New Roman" w:hAnsi="Times New Roman"/>
                <w:szCs w:val="21"/>
              </w:rPr>
              <w:t>80%-95%</w:t>
            </w:r>
            <w:r>
              <w:rPr>
                <w:rFonts w:ascii="Times New Roman" w:hAnsi="Times New Roman"/>
                <w:szCs w:val="21"/>
              </w:rPr>
              <w:t>时</w:t>
            </w:r>
          </w:p>
          <w:p w14:paraId="77ABDE80"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将细胞离心去上清，用新鲜培养液重悬，使其密度为</w:t>
            </w:r>
            <w:r>
              <w:rPr>
                <w:rFonts w:ascii="Times New Roman" w:hAnsi="Times New Roman"/>
                <w:szCs w:val="21"/>
              </w:rPr>
              <w:t>3×10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szCs w:val="21"/>
              </w:rPr>
              <w:t>，接种于摇瓶中振荡培养。每天观察细胞是否增殖，若有增殖，继续培养，直至细胞密度为</w:t>
            </w:r>
            <w:r>
              <w:rPr>
                <w:rFonts w:ascii="Times New Roman" w:hAnsi="Times New Roman"/>
                <w:szCs w:val="21"/>
              </w:rPr>
              <w:t>9×10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szCs w:val="21"/>
              </w:rPr>
              <w:t>时方可传代。传代密度继续使用</w:t>
            </w:r>
            <w:r>
              <w:rPr>
                <w:rFonts w:ascii="Times New Roman" w:hAnsi="Times New Roman"/>
                <w:szCs w:val="21"/>
              </w:rPr>
              <w:t>3×10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szCs w:val="21"/>
              </w:rPr>
              <w:t>，直至细胞存活率恢复至</w:t>
            </w:r>
            <w:r>
              <w:rPr>
                <w:rFonts w:ascii="Times New Roman" w:hAnsi="Times New Roman"/>
                <w:szCs w:val="21"/>
              </w:rPr>
              <w:t>95%</w:t>
            </w:r>
            <w:r>
              <w:rPr>
                <w:rFonts w:ascii="Times New Roman" w:hAnsi="Times New Roman"/>
                <w:szCs w:val="21"/>
              </w:rPr>
              <w:t>以上时，可将传代密度恢复至</w:t>
            </w:r>
            <w:r>
              <w:rPr>
                <w:rFonts w:ascii="Times New Roman" w:hAnsi="Times New Roman"/>
                <w:szCs w:val="21"/>
              </w:rPr>
              <w:t>0.3-0.6×1</w:t>
            </w:r>
            <w:r>
              <w:rPr>
                <w:rFonts w:ascii="Times New Roman" w:hAnsi="Times New Roman"/>
                <w:szCs w:val="21"/>
                <w:vertAlign w:val="superscript"/>
              </w:rPr>
              <w:t>06</w:t>
            </w:r>
            <w:r>
              <w:rPr>
                <w:rFonts w:ascii="Times New Roman" w:hAnsi="Times New Roman"/>
                <w:szCs w:val="21"/>
              </w:rPr>
              <w:t xml:space="preserve"> cells/ml</w:t>
            </w:r>
            <w:r>
              <w:rPr>
                <w:rFonts w:ascii="Times New Roman" w:hAnsi="Times New Roman"/>
                <w:szCs w:val="21"/>
              </w:rPr>
              <w:t>。</w:t>
            </w:r>
          </w:p>
          <w:p w14:paraId="1783C2F2"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）当细胞存活率为</w:t>
            </w:r>
            <w:r>
              <w:rPr>
                <w:rFonts w:ascii="Times New Roman" w:hAnsi="Times New Roman"/>
                <w:szCs w:val="21"/>
              </w:rPr>
              <w:t>60%-80%</w:t>
            </w:r>
            <w:r>
              <w:rPr>
                <w:rFonts w:ascii="Times New Roman" w:hAnsi="Times New Roman"/>
                <w:szCs w:val="21"/>
              </w:rPr>
              <w:t>时</w:t>
            </w:r>
          </w:p>
          <w:p w14:paraId="34DA8DDD" w14:textId="66D66299" w:rsidR="004D6398" w:rsidRDefault="00E57017">
            <w:pPr>
              <w:pStyle w:val="ListParagraph"/>
              <w:ind w:firstLineChars="0" w:firstLine="0"/>
              <w:rPr>
                <w:rFonts w:ascii="Times New Roman" w:hAnsi="Times New Roman"/>
                <w:szCs w:val="21"/>
              </w:rPr>
            </w:pPr>
            <w:r>
              <w:rPr>
                <w:rFonts w:ascii="Times New Roman" w:hAnsi="Times New Roman"/>
                <w:szCs w:val="21"/>
              </w:rPr>
              <w:t>将细胞离心去上清，用新鲜</w:t>
            </w:r>
            <w:r>
              <w:rPr>
                <w:rFonts w:ascii="Times New Roman" w:hAnsi="Times New Roman"/>
                <w:szCs w:val="21"/>
              </w:rPr>
              <w:t>AC CHO SFM</w:t>
            </w:r>
            <w:r>
              <w:rPr>
                <w:rFonts w:ascii="Times New Roman" w:hAnsi="Times New Roman"/>
                <w:szCs w:val="21"/>
              </w:rPr>
              <w:t>重悬，使其密度为</w:t>
            </w:r>
            <w:r>
              <w:rPr>
                <w:rFonts w:ascii="Times New Roman" w:hAnsi="Times New Roman"/>
                <w:szCs w:val="21"/>
              </w:rPr>
              <w:t>0.5×10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szCs w:val="21"/>
              </w:rPr>
              <w:t>，接种于培养瓶中静置培养。每</w:t>
            </w:r>
            <w:r w:rsidR="000D6722">
              <w:rPr>
                <w:rFonts w:ascii="Times New Roman" w:hAnsi="Times New Roman" w:hint="eastAsia"/>
                <w:szCs w:val="21"/>
              </w:rPr>
              <w:t>2</w:t>
            </w:r>
            <w:r>
              <w:rPr>
                <w:rFonts w:ascii="Times New Roman" w:hAnsi="Times New Roman"/>
                <w:szCs w:val="21"/>
              </w:rPr>
              <w:t>天观察一次细胞是否生长</w:t>
            </w:r>
            <w:r w:rsidR="000D6722">
              <w:rPr>
                <w:rFonts w:ascii="Times New Roman" w:hAnsi="Times New Roman" w:hint="eastAsia"/>
                <w:szCs w:val="21"/>
              </w:rPr>
              <w:t>。</w:t>
            </w:r>
            <w:r>
              <w:rPr>
                <w:rFonts w:ascii="Times New Roman" w:hAnsi="Times New Roman"/>
                <w:szCs w:val="21"/>
              </w:rPr>
              <w:t>若细胞有生长，继续培养至细胞密度为</w:t>
            </w:r>
            <w:r>
              <w:rPr>
                <w:rFonts w:ascii="Times New Roman" w:hAnsi="Times New Roman"/>
                <w:szCs w:val="21"/>
              </w:rPr>
              <w:t>2.0×10</w:t>
            </w:r>
            <w:r>
              <w:rPr>
                <w:rFonts w:ascii="Times New Roman" w:hAnsi="Times New Roman"/>
                <w:szCs w:val="21"/>
                <w:vertAlign w:val="superscript"/>
              </w:rPr>
              <w:t>6</w:t>
            </w:r>
            <w:r>
              <w:rPr>
                <w:rFonts w:ascii="Times New Roman" w:hAnsi="Times New Roman"/>
                <w:szCs w:val="21"/>
              </w:rPr>
              <w:t xml:space="preserve"> cells/ml</w:t>
            </w:r>
            <w:r w:rsidR="00F056A2">
              <w:rPr>
                <w:rFonts w:ascii="Times New Roman" w:hAnsi="Times New Roman" w:hint="eastAsia"/>
                <w:szCs w:val="21"/>
              </w:rPr>
              <w:t>后</w:t>
            </w:r>
            <w:r>
              <w:rPr>
                <w:rFonts w:ascii="Times New Roman" w:hAnsi="Times New Roman"/>
                <w:szCs w:val="21"/>
              </w:rPr>
              <w:t>，传代至</w:t>
            </w:r>
            <w:r>
              <w:rPr>
                <w:rFonts w:ascii="Times New Roman" w:hAnsi="Times New Roman"/>
                <w:szCs w:val="21"/>
              </w:rPr>
              <w:t>0.5×10</w:t>
            </w:r>
            <w:r>
              <w:rPr>
                <w:rFonts w:ascii="Times New Roman" w:hAnsi="Times New Roman"/>
                <w:szCs w:val="21"/>
                <w:vertAlign w:val="superscript"/>
              </w:rPr>
              <w:t>6</w:t>
            </w:r>
            <w:r>
              <w:rPr>
                <w:rFonts w:ascii="Times New Roman" w:hAnsi="Times New Roman"/>
                <w:szCs w:val="21"/>
              </w:rPr>
              <w:t xml:space="preserve"> cells/ml</w:t>
            </w:r>
            <w:r>
              <w:rPr>
                <w:rFonts w:ascii="Times New Roman" w:hAnsi="Times New Roman"/>
                <w:szCs w:val="21"/>
              </w:rPr>
              <w:t>于培养瓶中静置培养。重复上述过程，直至细胞活率大于</w:t>
            </w:r>
            <w:r>
              <w:rPr>
                <w:rFonts w:ascii="Times New Roman" w:hAnsi="Times New Roman"/>
                <w:szCs w:val="21"/>
              </w:rPr>
              <w:t>90%</w:t>
            </w:r>
            <w:r>
              <w:rPr>
                <w:rFonts w:ascii="Times New Roman" w:hAnsi="Times New Roman"/>
                <w:szCs w:val="21"/>
              </w:rPr>
              <w:t>时，可转移至摇瓶中培养，</w:t>
            </w:r>
            <w:r w:rsidR="00F056A2">
              <w:rPr>
                <w:rFonts w:ascii="Times New Roman" w:hAnsi="Times New Roman" w:hint="eastAsia"/>
                <w:szCs w:val="21"/>
              </w:rPr>
              <w:t>此时</w:t>
            </w:r>
            <w:r>
              <w:rPr>
                <w:rFonts w:ascii="Times New Roman" w:hAnsi="Times New Roman"/>
                <w:szCs w:val="21"/>
              </w:rPr>
              <w:t>接种密度应不少于</w:t>
            </w:r>
            <w:r>
              <w:rPr>
                <w:rFonts w:ascii="Times New Roman" w:hAnsi="Times New Roman"/>
                <w:szCs w:val="21"/>
              </w:rPr>
              <w:t>2.0×10</w:t>
            </w:r>
            <w:r>
              <w:rPr>
                <w:rFonts w:ascii="Times New Roman" w:hAnsi="Times New Roman"/>
                <w:szCs w:val="21"/>
                <w:vertAlign w:val="superscript"/>
              </w:rPr>
              <w:t xml:space="preserve">6 </w:t>
            </w:r>
            <w:r>
              <w:rPr>
                <w:rFonts w:ascii="Times New Roman" w:hAnsi="Times New Roman"/>
                <w:szCs w:val="21"/>
              </w:rPr>
              <w:t>cells/ml</w:t>
            </w:r>
            <w:r>
              <w:rPr>
                <w:rFonts w:ascii="Times New Roman" w:hAnsi="Times New Roman"/>
                <w:szCs w:val="21"/>
              </w:rPr>
              <w:t>。在静置培养过程中若发现有细胞贴壁，可继续培养。当细胞密度达到一定程度时，部分细胞会自然脱落，继续贴壁的细胞则可以借助移液管的轻微吹打脱离培养瓶。</w:t>
            </w:r>
          </w:p>
          <w:p w14:paraId="3F8129DB"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w:t>
            </w:r>
            <w:r>
              <w:rPr>
                <w:rFonts w:ascii="Times New Roman" w:hAnsi="Times New Roman"/>
                <w:szCs w:val="21"/>
              </w:rPr>
              <w:t>3</w:t>
            </w:r>
            <w:r>
              <w:rPr>
                <w:rFonts w:ascii="Times New Roman" w:hAnsi="Times New Roman"/>
                <w:szCs w:val="21"/>
              </w:rPr>
              <w:t>）细胞存活率小于</w:t>
            </w:r>
            <w:r>
              <w:rPr>
                <w:rFonts w:ascii="Times New Roman" w:hAnsi="Times New Roman"/>
                <w:szCs w:val="21"/>
              </w:rPr>
              <w:t>60%</w:t>
            </w:r>
            <w:r>
              <w:rPr>
                <w:rFonts w:ascii="Times New Roman" w:hAnsi="Times New Roman"/>
                <w:szCs w:val="21"/>
              </w:rPr>
              <w:t>时</w:t>
            </w:r>
          </w:p>
          <w:p w14:paraId="592F96D7" w14:textId="77777777" w:rsidR="004D6398" w:rsidRDefault="00E57017">
            <w:pPr>
              <w:pStyle w:val="ListParagraph"/>
              <w:tabs>
                <w:tab w:val="left" w:pos="6786"/>
              </w:tabs>
              <w:ind w:firstLineChars="0" w:firstLine="0"/>
              <w:rPr>
                <w:rFonts w:ascii="Times New Roman" w:hAnsi="Times New Roman"/>
                <w:szCs w:val="21"/>
              </w:rPr>
            </w:pPr>
            <w:r>
              <w:rPr>
                <w:rFonts w:ascii="Times New Roman" w:hAnsi="Times New Roman"/>
                <w:szCs w:val="21"/>
              </w:rPr>
              <w:t>丢弃细胞，重新获取细胞。</w:t>
            </w:r>
            <w:r>
              <w:rPr>
                <w:rFonts w:ascii="Times New Roman" w:hAnsi="Times New Roman" w:hint="eastAsia"/>
                <w:szCs w:val="21"/>
              </w:rPr>
              <w:tab/>
            </w:r>
          </w:p>
          <w:p w14:paraId="11BA9F9C"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4.</w:t>
            </w:r>
            <w:r>
              <w:rPr>
                <w:rFonts w:ascii="Times New Roman" w:hAnsi="Times New Roman"/>
                <w:szCs w:val="21"/>
              </w:rPr>
              <w:t>细胞结团</w:t>
            </w:r>
          </w:p>
          <w:p w14:paraId="3F89CD8F" w14:textId="77777777" w:rsidR="004D6398" w:rsidRDefault="00E57017">
            <w:pPr>
              <w:pStyle w:val="ListParagraph"/>
              <w:ind w:firstLineChars="0" w:firstLine="0"/>
              <w:rPr>
                <w:rFonts w:ascii="Times New Roman" w:hAnsi="Times New Roman"/>
                <w:szCs w:val="21"/>
              </w:rPr>
            </w:pPr>
            <w:r>
              <w:rPr>
                <w:rFonts w:ascii="Times New Roman" w:hAnsi="Times New Roman"/>
                <w:szCs w:val="21"/>
              </w:rPr>
              <w:t>检查是否往培养液中添加了其它物质，若使用可重复使用的玻璃摇瓶，需检查瓶子是否清洗干净。如果结团细胞成球状，可能是因为添加了其它外源物质或洗涤剂；如果结团细胞成片状或不规则的松散结构，可能是因为摇瓶有上一次培养时没洗干净的残留物粘附于瓶身或细胞成活率较低。</w:t>
            </w:r>
          </w:p>
          <w:p w14:paraId="249FAF08" w14:textId="77777777" w:rsidR="004D6398" w:rsidRDefault="004D6398">
            <w:pPr>
              <w:pStyle w:val="ListParagraph"/>
              <w:ind w:firstLineChars="0" w:firstLine="0"/>
              <w:rPr>
                <w:rFonts w:ascii="Times New Roman" w:hAnsi="Times New Roman"/>
                <w:szCs w:val="21"/>
              </w:rPr>
            </w:pPr>
          </w:p>
        </w:tc>
      </w:tr>
    </w:tbl>
    <w:p w14:paraId="3A1E0564" w14:textId="77777777" w:rsidR="004D6398" w:rsidRDefault="004D6398">
      <w:pPr>
        <w:spacing w:line="360" w:lineRule="auto"/>
        <w:jc w:val="left"/>
        <w:rPr>
          <w:sz w:val="22"/>
          <w:szCs w:val="28"/>
        </w:rPr>
      </w:pPr>
    </w:p>
    <w:p w14:paraId="2CC18F7E" w14:textId="77777777" w:rsidR="004D6398" w:rsidRDefault="004D6398">
      <w:pPr>
        <w:spacing w:line="360" w:lineRule="auto"/>
        <w:jc w:val="left"/>
        <w:rPr>
          <w:szCs w:val="21"/>
        </w:rPr>
      </w:pPr>
    </w:p>
    <w:p w14:paraId="18AA972A" w14:textId="77777777" w:rsidR="004D6398" w:rsidRDefault="004D6398"/>
    <w:p w14:paraId="6375D72F" w14:textId="77777777" w:rsidR="004D6398" w:rsidRDefault="004D6398"/>
    <w:p w14:paraId="3ACD175E" w14:textId="77777777" w:rsidR="004D6398" w:rsidRDefault="00E57017">
      <w:pPr>
        <w:tabs>
          <w:tab w:val="left" w:pos="4094"/>
        </w:tabs>
        <w:jc w:val="left"/>
      </w:pPr>
      <w:r>
        <w:rPr>
          <w:rFonts w:hint="eastAsia"/>
        </w:rPr>
        <w:tab/>
      </w:r>
    </w:p>
    <w:sectPr w:rsidR="004D6398">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16204" w14:textId="77777777" w:rsidR="00EC2BCE" w:rsidRDefault="00EC2BCE">
      <w:r>
        <w:separator/>
      </w:r>
    </w:p>
  </w:endnote>
  <w:endnote w:type="continuationSeparator" w:id="0">
    <w:p w14:paraId="57AF6779" w14:textId="77777777" w:rsidR="00EC2BCE" w:rsidRDefault="00EC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2E35" w14:textId="77777777" w:rsidR="004D6398" w:rsidRDefault="004D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F898" w14:textId="77777777" w:rsidR="004D6398" w:rsidRDefault="00E57017">
    <w:pPr>
      <w:spacing w:line="360" w:lineRule="auto"/>
      <w:jc w:val="right"/>
      <w:rPr>
        <w:rFonts w:ascii="SimSun" w:hAnsi="SimSun" w:cs="SimSun"/>
        <w:sz w:val="20"/>
        <w:szCs w:val="20"/>
      </w:rPr>
    </w:pPr>
    <w:r>
      <w:rPr>
        <w:rFonts w:ascii="SimSun" w:hAnsi="SimSun" w:cs="SimSun" w:hint="eastAsia"/>
        <w:sz w:val="20"/>
        <w:szCs w:val="20"/>
      </w:rPr>
      <w:t>【技术支持】：根据销售条款，如您遇到任何问题，请与我司技术支持人员联系：Tel:0756-3631186</w:t>
    </w:r>
  </w:p>
  <w:p w14:paraId="798D9D42" w14:textId="77777777" w:rsidR="004D6398" w:rsidRDefault="00E57017">
    <w:pPr>
      <w:pStyle w:val="Footer"/>
      <w:jc w:val="right"/>
    </w:pPr>
    <w:r>
      <w:rPr>
        <w:noProof/>
        <w:sz w:val="20"/>
        <w:szCs w:val="20"/>
      </w:rPr>
      <mc:AlternateContent>
        <mc:Choice Requires="wps">
          <w:drawing>
            <wp:anchor distT="0" distB="0" distL="114300" distR="114300" simplePos="0" relativeHeight="251661312" behindDoc="0" locked="0" layoutInCell="1" allowOverlap="1" wp14:anchorId="05714D23" wp14:editId="66A8F3E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5C44DE" w14:textId="77777777" w:rsidR="004D6398" w:rsidRDefault="00E57017">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714D23"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bWpliGECAAAKBQAADgAAAAAAAAAAAAAAAAAuAgAAZHJzL2Uyb0RvYy54&#13;&#10;bWxQSwECLQAUAAYACAAAACEAABfl9NkAAAAKAQAADwAAAAAAAAAAAAAAAAC7BAAAZHJzL2Rvd25y&#13;&#10;ZXYueG1sUEsFBgAAAAAEAAQA8wAAAMEFAAAAAA==&#13;&#10;" filled="f" stroked="f" strokeweight=".5pt">
              <v:textbox style="mso-fit-shape-to-text:t" inset="0,0,0,0">
                <w:txbxContent>
                  <w:p w14:paraId="2F5C44DE" w14:textId="77777777" w:rsidR="004D6398" w:rsidRDefault="00E57017">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7AA0F978" wp14:editId="0C8F5EAB">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D44D40" w14:textId="77777777" w:rsidR="004D6398" w:rsidRDefault="004D6398"/>
                      </w:txbxContent>
                    </wps:txbx>
                    <wps:bodyPr vert="horz" wrap="none" lIns="0" tIns="0" rIns="0" bIns="0" anchor="t" anchorCtr="0">
                      <a:spAutoFit/>
                    </wps:bodyPr>
                  </wps:wsp>
                </a:graphicData>
              </a:graphic>
            </wp:anchor>
          </w:drawing>
        </mc:Choice>
        <mc:Fallback>
          <w:pict>
            <v:shape w14:anchorId="7AA0F978"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" filled="f" stroked="f">
              <v:textbox style="mso-fit-shape-to-text:t" inset="0,0,0,0">
                <w:txbxContent>
                  <w:p w14:paraId="5DD44D40" w14:textId="77777777" w:rsidR="004D6398" w:rsidRDefault="004D6398"/>
                </w:txbxContent>
              </v:textbox>
              <w10:wrap anchorx="margin"/>
            </v:shape>
          </w:pict>
        </mc:Fallback>
      </mc:AlternateContent>
    </w:r>
    <w:r>
      <w:rPr>
        <w:rFonts w:hint="eastAsia"/>
        <w:sz w:val="20"/>
        <w:szCs w:val="20"/>
      </w:rPr>
      <w:t>珠海恺瑞生物科技有限公司</w:t>
    </w:r>
    <w:r>
      <w:rPr>
        <w:rFonts w:hint="eastAsia"/>
      </w:rPr>
      <w:t xml:space="preserve"> </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658C" w14:textId="77777777" w:rsidR="004D6398" w:rsidRDefault="00E57017">
    <w:pPr>
      <w:pStyle w:val="Footer"/>
      <w:jc w:val="right"/>
    </w:pPr>
    <w:r>
      <w:rPr>
        <w:noProof/>
      </w:rPr>
      <mc:AlternateContent>
        <mc:Choice Requires="wps">
          <w:drawing>
            <wp:anchor distT="0" distB="0" distL="114300" distR="114300" simplePos="0" relativeHeight="251663360" behindDoc="0" locked="0" layoutInCell="1" allowOverlap="1" wp14:anchorId="7D606867" wp14:editId="76923239">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DA9D1" w14:textId="77777777" w:rsidR="004D6398" w:rsidRDefault="00E5701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606867" id="_x0000_t202" coordsize="21600,21600" o:spt="202" path="m,l,21600r21600,l21600,xe">
              <v:stroke joinstyle="miter"/>
              <v:path gradientshapeok="t" o:connecttype="rect"/>
            </v:shapetype>
            <v:shape id="文本框 7" o:spid="_x0000_s1028"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" filled="f" stroked="f" strokeweight=".5pt">
              <v:textbox style="mso-fit-shape-to-text:t" inset="0,0,0,0">
                <w:txbxContent>
                  <w:p w14:paraId="619DA9D1" w14:textId="77777777" w:rsidR="004D6398" w:rsidRDefault="00E5701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4DEC7C8E" w14:textId="77777777" w:rsidR="004D6398" w:rsidRDefault="00E57017">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EE42F" w14:textId="77777777" w:rsidR="00EC2BCE" w:rsidRDefault="00EC2BCE">
      <w:r>
        <w:separator/>
      </w:r>
    </w:p>
  </w:footnote>
  <w:footnote w:type="continuationSeparator" w:id="0">
    <w:p w14:paraId="1FA9BFE9" w14:textId="77777777" w:rsidR="00EC2BCE" w:rsidRDefault="00EC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1A6D" w14:textId="77777777" w:rsidR="004D6398" w:rsidRDefault="004D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FE5C" w14:textId="77777777" w:rsidR="004D6398" w:rsidRDefault="00E57017">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4384" behindDoc="0" locked="0" layoutInCell="1" allowOverlap="1" wp14:anchorId="286A775C" wp14:editId="1771D7D2">
          <wp:simplePos x="0" y="0"/>
          <wp:positionH relativeFrom="column">
            <wp:posOffset>4789170</wp:posOffset>
          </wp:positionH>
          <wp:positionV relativeFrom="paragraph">
            <wp:posOffset>-12065</wp:posOffset>
          </wp:positionV>
          <wp:extent cx="1326515" cy="307340"/>
          <wp:effectExtent l="0" t="0" r="6985" b="165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6240E7D6" w14:textId="77777777" w:rsidR="004D6398" w:rsidRDefault="00E57017">
    <w:pPr>
      <w:pBdr>
        <w:bottom w:val="single" w:sz="4" w:space="0" w:color="auto"/>
      </w:pBdr>
      <w:tabs>
        <w:tab w:val="left" w:pos="3812"/>
        <w:tab w:val="right" w:pos="9758"/>
      </w:tabs>
      <w:jc w:val="left"/>
      <w:rPr>
        <w:sz w:val="20"/>
        <w:szCs w:val="20"/>
      </w:rPr>
    </w:pPr>
    <w:r>
      <w:rPr>
        <w:rFonts w:hint="eastAsia"/>
        <w:sz w:val="20"/>
        <w:szCs w:val="20"/>
      </w:rPr>
      <w:t>ACE CHO SFM</w:t>
    </w:r>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6F0AE377" w14:textId="77777777" w:rsidR="004D6398" w:rsidRDefault="00E57017">
    <w:pPr>
      <w:pStyle w:val="Header"/>
      <w:pBdr>
        <w:bottom w:val="none" w:sz="0" w:space="0" w:color="auto"/>
      </w:pBdr>
      <w:tabs>
        <w:tab w:val="left" w:pos="588"/>
      </w:tabs>
      <w:jc w:val="left"/>
      <w:rPr>
        <w:color w:val="00B0F0"/>
      </w:rPr>
    </w:pPr>
    <w:r>
      <w:rPr>
        <w:rFonts w:hint="eastAsia"/>
        <w:color w:val="00B0F0"/>
      </w:rPr>
      <w:tab/>
    </w:r>
    <w:r>
      <w:rPr>
        <w:rFonts w:hint="eastAsia"/>
        <w:color w:val="00B0F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0774A" w14:textId="77777777" w:rsidR="004D6398" w:rsidRDefault="00E57017">
    <w:pPr>
      <w:tabs>
        <w:tab w:val="left" w:pos="3812"/>
        <w:tab w:val="right" w:pos="9758"/>
      </w:tabs>
      <w:jc w:val="left"/>
    </w:pPr>
    <w:r>
      <w:rPr>
        <w:noProof/>
      </w:rPr>
      <w:drawing>
        <wp:anchor distT="0" distB="0" distL="114300" distR="114300" simplePos="0" relativeHeight="251662336" behindDoc="0" locked="0" layoutInCell="1" allowOverlap="1" wp14:anchorId="732F7326" wp14:editId="7E617F5F">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624D3589" w14:textId="77777777" w:rsidR="004D6398" w:rsidRDefault="00E57017">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49B"/>
    <w:multiLevelType w:val="multilevel"/>
    <w:tmpl w:val="15C424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D867AF"/>
    <w:multiLevelType w:val="multilevel"/>
    <w:tmpl w:val="44D867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33212E"/>
    <w:multiLevelType w:val="multilevel"/>
    <w:tmpl w:val="563321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B003D8"/>
    <w:multiLevelType w:val="multilevel"/>
    <w:tmpl w:val="64B00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75397"/>
    <w:rsid w:val="000D6722"/>
    <w:rsid w:val="00154E5E"/>
    <w:rsid w:val="00160E67"/>
    <w:rsid w:val="001A0BE0"/>
    <w:rsid w:val="001D1F17"/>
    <w:rsid w:val="001F0724"/>
    <w:rsid w:val="002108BA"/>
    <w:rsid w:val="002247E9"/>
    <w:rsid w:val="00241780"/>
    <w:rsid w:val="00294EE7"/>
    <w:rsid w:val="0029515E"/>
    <w:rsid w:val="00296950"/>
    <w:rsid w:val="002C4D86"/>
    <w:rsid w:val="003122F2"/>
    <w:rsid w:val="0032765E"/>
    <w:rsid w:val="003362DA"/>
    <w:rsid w:val="00343532"/>
    <w:rsid w:val="00351162"/>
    <w:rsid w:val="00351870"/>
    <w:rsid w:val="00375237"/>
    <w:rsid w:val="003C45C1"/>
    <w:rsid w:val="003D61DA"/>
    <w:rsid w:val="003E1139"/>
    <w:rsid w:val="0043205E"/>
    <w:rsid w:val="004424EE"/>
    <w:rsid w:val="004469A8"/>
    <w:rsid w:val="00491B79"/>
    <w:rsid w:val="004A33B4"/>
    <w:rsid w:val="004B354B"/>
    <w:rsid w:val="004D6398"/>
    <w:rsid w:val="00507D27"/>
    <w:rsid w:val="005B6BD9"/>
    <w:rsid w:val="00635446"/>
    <w:rsid w:val="006766A1"/>
    <w:rsid w:val="006A5FE6"/>
    <w:rsid w:val="006B0F15"/>
    <w:rsid w:val="006C652D"/>
    <w:rsid w:val="006C7806"/>
    <w:rsid w:val="006D19A4"/>
    <w:rsid w:val="006D5159"/>
    <w:rsid w:val="00706CEC"/>
    <w:rsid w:val="007643BA"/>
    <w:rsid w:val="00794D8A"/>
    <w:rsid w:val="00796EB5"/>
    <w:rsid w:val="00825974"/>
    <w:rsid w:val="00840D53"/>
    <w:rsid w:val="00867DB0"/>
    <w:rsid w:val="0087241E"/>
    <w:rsid w:val="008802B5"/>
    <w:rsid w:val="00894DCF"/>
    <w:rsid w:val="008B2E4D"/>
    <w:rsid w:val="008F2B75"/>
    <w:rsid w:val="008F4974"/>
    <w:rsid w:val="00922398"/>
    <w:rsid w:val="00990968"/>
    <w:rsid w:val="00994A0B"/>
    <w:rsid w:val="009A192A"/>
    <w:rsid w:val="009D7E11"/>
    <w:rsid w:val="009E74AC"/>
    <w:rsid w:val="00A171DF"/>
    <w:rsid w:val="00A40788"/>
    <w:rsid w:val="00A57FAC"/>
    <w:rsid w:val="00A95D7D"/>
    <w:rsid w:val="00AA0D2B"/>
    <w:rsid w:val="00AA4DA6"/>
    <w:rsid w:val="00AB3057"/>
    <w:rsid w:val="00AF0FE0"/>
    <w:rsid w:val="00B14C64"/>
    <w:rsid w:val="00B217EE"/>
    <w:rsid w:val="00B42FC3"/>
    <w:rsid w:val="00B616D6"/>
    <w:rsid w:val="00BA39C2"/>
    <w:rsid w:val="00BA51F7"/>
    <w:rsid w:val="00BD0BA9"/>
    <w:rsid w:val="00C01297"/>
    <w:rsid w:val="00C03A32"/>
    <w:rsid w:val="00C2016A"/>
    <w:rsid w:val="00C20762"/>
    <w:rsid w:val="00C31023"/>
    <w:rsid w:val="00C32477"/>
    <w:rsid w:val="00C36DC3"/>
    <w:rsid w:val="00C66122"/>
    <w:rsid w:val="00C717CD"/>
    <w:rsid w:val="00CB33D2"/>
    <w:rsid w:val="00CD35C3"/>
    <w:rsid w:val="00CF6836"/>
    <w:rsid w:val="00D22747"/>
    <w:rsid w:val="00D33950"/>
    <w:rsid w:val="00D412CD"/>
    <w:rsid w:val="00D45776"/>
    <w:rsid w:val="00D64D9A"/>
    <w:rsid w:val="00D86746"/>
    <w:rsid w:val="00DC1032"/>
    <w:rsid w:val="00DC353D"/>
    <w:rsid w:val="00E335D6"/>
    <w:rsid w:val="00E57017"/>
    <w:rsid w:val="00E666E5"/>
    <w:rsid w:val="00E92B32"/>
    <w:rsid w:val="00EB3C0E"/>
    <w:rsid w:val="00EC2BCE"/>
    <w:rsid w:val="00EC6D7F"/>
    <w:rsid w:val="00F056A2"/>
    <w:rsid w:val="00F126BD"/>
    <w:rsid w:val="00F72FA6"/>
    <w:rsid w:val="00F77747"/>
    <w:rsid w:val="01145609"/>
    <w:rsid w:val="01BF4375"/>
    <w:rsid w:val="01FD42EF"/>
    <w:rsid w:val="04042BAB"/>
    <w:rsid w:val="043A39A4"/>
    <w:rsid w:val="0534627A"/>
    <w:rsid w:val="05786B4E"/>
    <w:rsid w:val="07131EBF"/>
    <w:rsid w:val="082078D1"/>
    <w:rsid w:val="08326395"/>
    <w:rsid w:val="085B5817"/>
    <w:rsid w:val="09F3255D"/>
    <w:rsid w:val="0A6215B9"/>
    <w:rsid w:val="0A826331"/>
    <w:rsid w:val="0AD261E7"/>
    <w:rsid w:val="0AD6392F"/>
    <w:rsid w:val="0DF45EE1"/>
    <w:rsid w:val="12AF5192"/>
    <w:rsid w:val="14DA665C"/>
    <w:rsid w:val="15512530"/>
    <w:rsid w:val="17A766F9"/>
    <w:rsid w:val="1BB62C71"/>
    <w:rsid w:val="1CD80BE9"/>
    <w:rsid w:val="1DE262C1"/>
    <w:rsid w:val="1E670B63"/>
    <w:rsid w:val="1E8829ED"/>
    <w:rsid w:val="1EA62FBD"/>
    <w:rsid w:val="1EC36959"/>
    <w:rsid w:val="1EE64CE4"/>
    <w:rsid w:val="1F5F4158"/>
    <w:rsid w:val="20484B45"/>
    <w:rsid w:val="20F94D0B"/>
    <w:rsid w:val="21E902FA"/>
    <w:rsid w:val="229F6614"/>
    <w:rsid w:val="23841FEC"/>
    <w:rsid w:val="23F16ADD"/>
    <w:rsid w:val="25370F70"/>
    <w:rsid w:val="26DC0640"/>
    <w:rsid w:val="29F57D92"/>
    <w:rsid w:val="2C995E1E"/>
    <w:rsid w:val="2EE13AA5"/>
    <w:rsid w:val="31427B71"/>
    <w:rsid w:val="31566EC3"/>
    <w:rsid w:val="32BD6A1E"/>
    <w:rsid w:val="36051A15"/>
    <w:rsid w:val="3667073C"/>
    <w:rsid w:val="36EA7C6A"/>
    <w:rsid w:val="3B4F1F10"/>
    <w:rsid w:val="3BF22EF6"/>
    <w:rsid w:val="438C3691"/>
    <w:rsid w:val="469F5EAA"/>
    <w:rsid w:val="488E4367"/>
    <w:rsid w:val="4A2F038B"/>
    <w:rsid w:val="4B0C5FD6"/>
    <w:rsid w:val="4B2749B7"/>
    <w:rsid w:val="4B7D40C8"/>
    <w:rsid w:val="4C463EE4"/>
    <w:rsid w:val="52206E0E"/>
    <w:rsid w:val="52B753C1"/>
    <w:rsid w:val="56AD7D44"/>
    <w:rsid w:val="587A6C75"/>
    <w:rsid w:val="58CD7563"/>
    <w:rsid w:val="5F3E246C"/>
    <w:rsid w:val="60B33C2C"/>
    <w:rsid w:val="61A36339"/>
    <w:rsid w:val="62E21FE6"/>
    <w:rsid w:val="65246F9E"/>
    <w:rsid w:val="669B618E"/>
    <w:rsid w:val="66FFE0A8"/>
    <w:rsid w:val="67776A9F"/>
    <w:rsid w:val="679E183D"/>
    <w:rsid w:val="691E20F1"/>
    <w:rsid w:val="6A1924FA"/>
    <w:rsid w:val="6E0E0133"/>
    <w:rsid w:val="70E26BCC"/>
    <w:rsid w:val="72874010"/>
    <w:rsid w:val="75956863"/>
    <w:rsid w:val="767E0976"/>
    <w:rsid w:val="7C870B90"/>
    <w:rsid w:val="7D5E64B1"/>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377780E"/>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2025-03-14T06:41:00Z</dcterms:created>
  <dcterms:modified xsi:type="dcterms:W3CDTF">2025-03-14T20:54:00Z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8B52EF12161C45EDAA4B2250BCEA2389_13</vt:lpwstr>
  </property>
  <property fmtid="{D5CDD505-2E9C-101B-9397-08002B2CF9AE}" pid="4" name="KSOTemplateDocerSaveRecord">
    <vt:lpwstr>eyJoZGlkIjoiNmY4MTViMGViNjY1ZDM4MzQxZjgwMDA5NjBmNmI3NjQiLCJ1c2VySWQiOiIxNDM0MTg3MzgzIn0=</vt:lpwstr>
  </property>
</Properties>
</file>